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43" w:rsidRPr="00196E43" w:rsidRDefault="00196E43" w:rsidP="00196E43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bookmarkStart w:id="0" w:name="_GoBack"/>
      <w:proofErr w:type="spellStart"/>
      <w:r w:rsidRPr="00196E4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Anticor</w:t>
      </w:r>
      <w:proofErr w:type="spellEnd"/>
      <w:r w:rsidRPr="00196E4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 Propositions pour des communes plus éthiques</w:t>
      </w:r>
    </w:p>
    <w:bookmarkEnd w:id="0"/>
    <w:p w:rsidR="00196E43" w:rsidRPr="00196E43" w:rsidRDefault="00196E43" w:rsidP="00196E43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proofErr w:type="spellStart"/>
      <w:r w:rsidRPr="00196E4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Anticor</w:t>
      </w:r>
      <w:proofErr w:type="spellEnd"/>
      <w:r w:rsidRPr="00196E4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invite les candidats aux élections municipales à intégrer dans leur programme tout ou partie de ses 30 propositions pour des communes plus éthiques.</w:t>
      </w:r>
    </w:p>
    <w:p w:rsidR="00196E43" w:rsidRPr="00196E43" w:rsidRDefault="00196E43" w:rsidP="00196E4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Outre les principes déontologiques contenus dans la </w:t>
      </w:r>
      <w:hyperlink r:id="rId4" w:history="1">
        <w:r w:rsidRPr="00196E43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Charte de l’élu local</w:t>
        </w:r>
      </w:hyperlink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la loi a renforcé les obligations faites aux collectivités pour plus de transparence et d’éthique. </w:t>
      </w:r>
    </w:p>
    <w:p w:rsidR="00196E43" w:rsidRPr="00196E43" w:rsidRDefault="00196E43" w:rsidP="00196E4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proofErr w:type="spellStart"/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>Anticor</w:t>
      </w:r>
      <w:proofErr w:type="spellEnd"/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invite les municipalités non seulement à les respecter mais à aller plus loin par le biais de leur règlement intérieur ou d’une charte éthique.</w:t>
      </w:r>
    </w:p>
    <w:p w:rsidR="00196E43" w:rsidRPr="00196E43" w:rsidRDefault="00196E43" w:rsidP="00196E4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96E4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1) Disponibilité des élus</w:t>
      </w:r>
    </w:p>
    <w:p w:rsidR="00196E43" w:rsidRPr="00196E43" w:rsidRDefault="00196E43" w:rsidP="00196E4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>• Avoir un maire qui n’exerce ni mandat départemental, régional ou national, étant entendu qu’il n’effectuera pas plus de deux mandats consécutifs.</w:t>
      </w:r>
    </w:p>
    <w:p w:rsidR="00196E43" w:rsidRPr="00196E43" w:rsidRDefault="00196E43" w:rsidP="00196E4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>• Moduler le montant des indemnités allouées aux conseillers municipaux en fonction de leur participation effective aux séances plénières.</w:t>
      </w:r>
    </w:p>
    <w:p w:rsidR="00196E43" w:rsidRPr="00196E43" w:rsidRDefault="00196E43" w:rsidP="00196E4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96E4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2) Prévention des conflits d’intérêts</w:t>
      </w:r>
    </w:p>
    <w:p w:rsidR="00196E43" w:rsidRPr="00196E43" w:rsidRDefault="00196E43" w:rsidP="00196E4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>• Mettre en place des mécanismes de détection des conflits d’intérêts afin d’indiquer, avant chaque séance plénière, les élus qui doivent se déporter.</w:t>
      </w:r>
    </w:p>
    <w:p w:rsidR="00196E43" w:rsidRPr="00196E43" w:rsidRDefault="00196E43" w:rsidP="00196E4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• Désigner un </w:t>
      </w:r>
      <w:hyperlink r:id="rId5" w:history="1">
        <w:r w:rsidRPr="00196E43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référent déontologue</w:t>
        </w:r>
      </w:hyperlink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(obligatoire sauf pour les communes affiliées à un centre de gestion).</w:t>
      </w:r>
    </w:p>
    <w:p w:rsidR="00196E43" w:rsidRPr="00196E43" w:rsidRDefault="00196E43" w:rsidP="00196E4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>• Développer des formations déontologiques adaptées aux risques propres de chaque service municipal.</w:t>
      </w:r>
    </w:p>
    <w:p w:rsidR="00196E43" w:rsidRPr="00196E43" w:rsidRDefault="00196E43" w:rsidP="00196E4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>• Interdire aux élus et aux agents publics d’accepter tout cadeau ou avantage d’une entreprise.</w:t>
      </w:r>
    </w:p>
    <w:p w:rsidR="00196E43" w:rsidRPr="00196E43" w:rsidRDefault="00196E43" w:rsidP="00196E4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96E4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3) Reconnaissance du rôle des élus minoritaires</w:t>
      </w:r>
    </w:p>
    <w:p w:rsidR="00196E43" w:rsidRPr="00196E43" w:rsidRDefault="00196E43" w:rsidP="00196E4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• Permettre aux élus minoritaires d’exercer leur droit à la </w:t>
      </w:r>
      <w:hyperlink r:id="rId6" w:history="1">
        <w:r w:rsidRPr="00196E43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formation</w:t>
        </w:r>
      </w:hyperlink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>, à l’</w:t>
      </w:r>
      <w:hyperlink r:id="rId7" w:history="1">
        <w:r w:rsidRPr="00196E43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information</w:t>
        </w:r>
      </w:hyperlink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 à l’</w:t>
      </w:r>
      <w:hyperlink r:id="rId8" w:history="1">
        <w:r w:rsidRPr="00196E43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expression</w:t>
        </w:r>
      </w:hyperlink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</w:p>
    <w:p w:rsidR="00196E43" w:rsidRPr="00196E43" w:rsidRDefault="00196E43" w:rsidP="00196E4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>• Proposer la vice-présidence de la commission des finances à un élu minoritaire.</w:t>
      </w:r>
    </w:p>
    <w:p w:rsidR="00196E43" w:rsidRPr="00196E43" w:rsidRDefault="00196E43" w:rsidP="00196E4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>• Associer les élus minoritaires aux phases de négociation prévues dans les procédures d’attribution des marchés publics et des concessions.</w:t>
      </w:r>
    </w:p>
    <w:p w:rsidR="00196E43" w:rsidRPr="00196E43" w:rsidRDefault="00196E43" w:rsidP="00196E4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• Associer les élus minoritaires à la désignation des membres non élus de la </w:t>
      </w:r>
      <w:hyperlink r:id="rId9" w:history="1">
        <w:r w:rsidRPr="00196E43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Commission consultative des services publics locaux</w:t>
        </w:r>
      </w:hyperlink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</w:p>
    <w:p w:rsidR="00196E43" w:rsidRPr="00196E43" w:rsidRDefault="00196E43" w:rsidP="00196E4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• Élargir le </w:t>
      </w:r>
      <w:hyperlink r:id="rId10" w:history="1">
        <w:r w:rsidRPr="00196E43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droit à la protection fonctionnelle</w:t>
        </w:r>
      </w:hyperlink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à tous les élus, même ceux n’ayant pas reçu de délégation de l’exécutif.</w:t>
      </w:r>
    </w:p>
    <w:p w:rsidR="00196E43" w:rsidRPr="00196E43" w:rsidRDefault="00196E43" w:rsidP="00196E4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96E4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4) Transparence de l’action publique</w:t>
      </w:r>
    </w:p>
    <w:p w:rsidR="00196E43" w:rsidRPr="00196E43" w:rsidRDefault="00196E43" w:rsidP="00196E4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>• Rendre publique l’assiduité des conseillers municipaux aux séances plénières.</w:t>
      </w:r>
    </w:p>
    <w:p w:rsidR="00196E43" w:rsidRPr="00196E43" w:rsidRDefault="00196E43" w:rsidP="00196E4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>• Appliquer l’</w:t>
      </w:r>
      <w:hyperlink r:id="rId11" w:history="1">
        <w:r w:rsidRPr="00196E43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open data par défaut</w:t>
        </w:r>
      </w:hyperlink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(obligatoire dans les communes de plus de 3 500 habitants et disposant d’au moins 50 agents).</w:t>
      </w:r>
    </w:p>
    <w:p w:rsidR="00196E43" w:rsidRPr="00196E43" w:rsidRDefault="00196E43" w:rsidP="00196E4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• Mettre en ligne les documents communicables les plus importants : délibérations, arrêtés réglementaires, </w:t>
      </w:r>
      <w:proofErr w:type="spellStart"/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>comptes-rendus</w:t>
      </w:r>
      <w:proofErr w:type="spellEnd"/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des séances plénières, rapports des concessionnaires, rapports annuels sur le prix et la qualité du service, observations de la chambre régionale des comptes, etc.</w:t>
      </w:r>
    </w:p>
    <w:p w:rsidR="00196E43" w:rsidRPr="00196E43" w:rsidRDefault="00196E43" w:rsidP="00196E4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>• Suivre sans délai les avis de la Commission d’accès aux documents administratifs (CADA).</w:t>
      </w:r>
    </w:p>
    <w:p w:rsidR="00196E43" w:rsidRPr="00196E43" w:rsidRDefault="00196E43" w:rsidP="00196E4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>• Mettre en ligne le montant des indemnités perçues par chaque conseiller municipal.</w:t>
      </w:r>
    </w:p>
    <w:p w:rsidR="00196E43" w:rsidRPr="00196E43" w:rsidRDefault="00196E43" w:rsidP="00196E4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>• Mettre en ligne la liste des bénéficiaires de logement ou de voiture de fonctions.</w:t>
      </w:r>
    </w:p>
    <w:p w:rsidR="00196E43" w:rsidRPr="00196E43" w:rsidRDefault="00196E43" w:rsidP="00196E4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>• Mettre en ligne le nombre et la rémunération des collaborateurs de cabinet.</w:t>
      </w:r>
    </w:p>
    <w:p w:rsidR="00196E43" w:rsidRPr="00196E43" w:rsidRDefault="00196E43" w:rsidP="00196E4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>• Mettre en ligne les frais d’avocats engagés par la commune et les jugements rendus.</w:t>
      </w:r>
    </w:p>
    <w:p w:rsidR="00196E43" w:rsidRPr="00196E43" w:rsidRDefault="00196E43" w:rsidP="00196E4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96E4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5) Lutte contre la corruption</w:t>
      </w:r>
    </w:p>
    <w:p w:rsidR="00196E43" w:rsidRPr="00196E43" w:rsidRDefault="00196E43" w:rsidP="00196E4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• Nommer un </w:t>
      </w:r>
      <w:hyperlink r:id="rId12" w:history="1">
        <w:r w:rsidRPr="00196E43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référent alerte éthique</w:t>
        </w:r>
      </w:hyperlink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(obligatoire dans les communes de plus de 10 000 habitants).</w:t>
      </w:r>
    </w:p>
    <w:p w:rsidR="00196E43" w:rsidRPr="00196E43" w:rsidRDefault="00196E43" w:rsidP="00196E4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>• Suspendre de ses fonctions exécutives tout élu mis en examen pour atteinte à la probité.</w:t>
      </w:r>
    </w:p>
    <w:p w:rsidR="00196E43" w:rsidRPr="00196E43" w:rsidRDefault="00196E43" w:rsidP="00196E4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>• Retirer définitivement les fonctions exécutives à tout élu condamné pour atteinte à la probité.</w:t>
      </w:r>
    </w:p>
    <w:p w:rsidR="00196E43" w:rsidRPr="00196E43" w:rsidRDefault="00196E43" w:rsidP="00196E4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96E4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6) Contrôle de l’action municipale</w:t>
      </w:r>
    </w:p>
    <w:p w:rsidR="00196E43" w:rsidRPr="00196E43" w:rsidRDefault="00196E43" w:rsidP="00196E4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• Mettre en place une </w:t>
      </w:r>
      <w:hyperlink r:id="rId13" w:history="1">
        <w:r w:rsidRPr="00196E43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Commission de contrôle financier</w:t>
        </w:r>
      </w:hyperlink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pour examiner les comptes détaillés des entreprises liées à la commune par une convention financière (obligatoire dans les communes ayant plus de 75 000 euros de recettes).</w:t>
      </w:r>
    </w:p>
    <w:p w:rsidR="00196E43" w:rsidRPr="00196E43" w:rsidRDefault="00196E43" w:rsidP="00196E4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>• Encourager la formation des conseillers municipaux et rendre public le nom des organismes formateurs.</w:t>
      </w:r>
    </w:p>
    <w:p w:rsidR="00196E43" w:rsidRPr="00196E43" w:rsidRDefault="00196E43" w:rsidP="00196E4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>• Créer une commission de suivi des contrats de la commande publique, qui examinera notamment leurs avenants et leurs contentieux.</w:t>
      </w:r>
    </w:p>
    <w:p w:rsidR="00196E43" w:rsidRPr="00196E43" w:rsidRDefault="00196E43" w:rsidP="00196E4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>• Créer une commission de surveillance des dépenses liées à la communication, aux voyages, aux réceptions, aux frais de bouche et aux invitations.</w:t>
      </w:r>
    </w:p>
    <w:p w:rsidR="00196E43" w:rsidRPr="00196E43" w:rsidRDefault="00196E43" w:rsidP="00196E4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96E4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7) Participation des citoyens aux décisions locales</w:t>
      </w:r>
    </w:p>
    <w:p w:rsidR="00196E43" w:rsidRPr="00196E43" w:rsidRDefault="00196E43" w:rsidP="00196E4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• Mettre en place une </w:t>
      </w:r>
      <w:hyperlink r:id="rId14" w:history="1">
        <w:r w:rsidRPr="00196E43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Commission consultative des services publics locaux</w:t>
        </w:r>
      </w:hyperlink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(obligatoire dans les communes de plus de 10 000 habitants).</w:t>
      </w:r>
    </w:p>
    <w:p w:rsidR="00196E43" w:rsidRPr="00196E43" w:rsidRDefault="00196E43" w:rsidP="00196E4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• Associer la population aux décisions par le biais de </w:t>
      </w:r>
      <w:hyperlink r:id="rId15" w:history="1">
        <w:r w:rsidRPr="00196E43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consultations</w:t>
        </w:r>
      </w:hyperlink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ou de </w:t>
      </w:r>
      <w:hyperlink r:id="rId16" w:history="1">
        <w:r w:rsidRPr="00196E43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référendums locaux</w:t>
        </w:r>
      </w:hyperlink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</w:p>
    <w:p w:rsidR="00196E43" w:rsidRPr="00196E43" w:rsidRDefault="00196E43" w:rsidP="00196E4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>• Garantir l’expression de tous les points de vue lors des procédures permettant aux citoyens de s’exprimer.</w:t>
      </w:r>
    </w:p>
    <w:p w:rsidR="00196E43" w:rsidRPr="00196E43" w:rsidRDefault="00196E43" w:rsidP="00196E4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>• Créer une commission d’éthique, notamment composée d’élus minoritaires et de citoyens, chargée de contrôler le respect des dispositions éthiques et de faire des préconisations.</w:t>
      </w:r>
    </w:p>
    <w:p w:rsidR="00196E43" w:rsidRPr="00196E43" w:rsidRDefault="00196E43" w:rsidP="00196E4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96E43">
        <w:rPr>
          <w:rFonts w:ascii="Comic Sans MS" w:eastAsia="Times New Roman" w:hAnsi="Comic Sans MS" w:cs="Times New Roman"/>
          <w:sz w:val="24"/>
          <w:szCs w:val="24"/>
          <w:lang w:eastAsia="fr-FR"/>
        </w:rPr>
        <w:t>Ces propositions ont, bien évidemment, vocation à être déclinée à l’échelon intercommunal.</w:t>
      </w:r>
    </w:p>
    <w:p w:rsidR="00196E43" w:rsidRPr="00196E43" w:rsidRDefault="00196E43" w:rsidP="00196E43">
      <w:pPr>
        <w:spacing w:after="0" w:line="240" w:lineRule="auto"/>
        <w:outlineLvl w:val="3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</w:p>
    <w:p w:rsidR="00196E43" w:rsidRPr="00196E43" w:rsidRDefault="00196E43" w:rsidP="00196E43">
      <w:pPr>
        <w:spacing w:after="0" w:line="240" w:lineRule="auto"/>
        <w:outlineLvl w:val="3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 w:rsidRPr="00196E4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Téléchargez le dépliant de présentation (à imprimer recto-verso)</w:t>
      </w:r>
    </w:p>
    <w:p w:rsidR="00196E43" w:rsidRPr="00196E43" w:rsidRDefault="00196E43" w:rsidP="00196E4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17" w:tgtFrame="_blank" w:history="1">
        <w:proofErr w:type="spellStart"/>
        <w:r w:rsidRPr="00196E43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Anticor</w:t>
        </w:r>
        <w:proofErr w:type="spellEnd"/>
        <w:r w:rsidRPr="00196E43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 xml:space="preserve"> - 30 propositions pour des communes plus éthiques (1176437 kilo-octets) </w:t>
        </w:r>
      </w:hyperlink>
    </w:p>
    <w:p w:rsidR="005B135B" w:rsidRPr="00196E43" w:rsidRDefault="005B135B" w:rsidP="00196E43">
      <w:pPr>
        <w:spacing w:after="0"/>
        <w:rPr>
          <w:rFonts w:ascii="Comic Sans MS" w:hAnsi="Comic Sans MS"/>
        </w:rPr>
      </w:pPr>
    </w:p>
    <w:sectPr w:rsidR="005B135B" w:rsidRPr="0019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43"/>
    <w:rsid w:val="00196E43"/>
    <w:rsid w:val="004B46FE"/>
    <w:rsid w:val="005B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93617-672B-41D3-92AB-D1C7AD4B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196E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196E4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96E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96E43"/>
    <w:rPr>
      <w:color w:val="0000FF"/>
      <w:u w:val="single"/>
    </w:rPr>
  </w:style>
  <w:style w:type="character" w:customStyle="1" w:styleId="c-messagebody">
    <w:name w:val="c-message__body"/>
    <w:basedOn w:val="Policepardfaut"/>
    <w:rsid w:val="00196E43"/>
  </w:style>
  <w:style w:type="character" w:styleId="Accentuation">
    <w:name w:val="Emphasis"/>
    <w:basedOn w:val="Policepardfaut"/>
    <w:uiPriority w:val="20"/>
    <w:qFormat/>
    <w:rsid w:val="00196E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9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4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CodeArticle.do?idArticle=LEGIARTI000006389889&amp;cidTexte=LEGITEXT000006070633&amp;dateTexte=20020228" TargetMode="External"/><Relationship Id="rId13" Type="http://schemas.openxmlformats.org/officeDocument/2006/relationships/hyperlink" Target="https://www.legifrance.gouv.fr/affichCodeArticle.do?idArticle=LEGIARTI000006397121&amp;cidTexte=LEGITEXT000006070633&amp;dateTexte=2002010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egifrance.gouv.fr/affichCodeArticle.do?cidTexte=LEGITEXT000006070633&amp;idArticle=LEGIARTI000006389870&amp;dateTexte=&amp;categorieLien=cid" TargetMode="External"/><Relationship Id="rId12" Type="http://schemas.openxmlformats.org/officeDocument/2006/relationships/hyperlink" Target="http://circulaire.legifrance.gouv.fr/pdf/2018/07/cir_43813.pdf" TargetMode="External"/><Relationship Id="rId17" Type="http://schemas.openxmlformats.org/officeDocument/2006/relationships/hyperlink" Target="https://www.anticor.org/wp-content/uploads/2020/01/Anticor-30-propositions-pour-des-communes-plus-&#233;thique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egifrance.gouv.fr/affichCodeArticle.do?cidTexte=LEGITEXT000006070633&amp;idArticle=LEGIARTI000006389033&amp;dateTexte=&amp;categorieLien=ci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egifrance.gouv.fr/affichCodeArticle.do?idArticle=LEGIARTI000030426482&amp;cidTexte=LEGITEXT000006070633&amp;dateTexte=20160101" TargetMode="External"/><Relationship Id="rId11" Type="http://schemas.openxmlformats.org/officeDocument/2006/relationships/hyperlink" Target="https://www.legifrance.gouv.fr/affichCodeArticle.do?idArticle=LEGIARTI000033205512&amp;cidTexte=LEGITEXT000031366350&amp;dateTexte=20161009" TargetMode="External"/><Relationship Id="rId5" Type="http://schemas.openxmlformats.org/officeDocument/2006/relationships/hyperlink" Target="https://www.legifrance.gouv.fr/affichTexte.do?cidTexte=JORFTEXT000034411018&amp;categorieLien=id" TargetMode="External"/><Relationship Id="rId15" Type="http://schemas.openxmlformats.org/officeDocument/2006/relationships/hyperlink" Target="https://www.legifrance.gouv.fr/affichCodeArticle.do?cidTexte=LEGITEXT000006070633&amp;idArticle=LEGIARTI000006389072&amp;dateTexte=&amp;categorieLien=cid" TargetMode="External"/><Relationship Id="rId10" Type="http://schemas.openxmlformats.org/officeDocument/2006/relationships/hyperlink" Target="https://www.senat.fr/questions/base/2019/qSEQ190409980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legifrance.gouv.fr/affichCodeArticle.do?idArticle=LEGIARTI000030424099&amp;cidTexte=LEGITEXT000006070633&amp;dateTexte=20150402" TargetMode="External"/><Relationship Id="rId9" Type="http://schemas.openxmlformats.org/officeDocument/2006/relationships/hyperlink" Target="https://www.legifrance.gouv.fr/affichCodeArticle.do?idArticle=LEGIARTI000037739204&amp;cidTexte=LEGITEXT000006070633&amp;dateTexte=20190401" TargetMode="External"/><Relationship Id="rId14" Type="http://schemas.openxmlformats.org/officeDocument/2006/relationships/hyperlink" Target="https://www.legifrance.gouv.fr/affichCodeArticle.do?idArticle=LEGIARTI000037739204&amp;cidTexte=LEGITEXT000006070633&amp;dateTexte=2019040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1017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1</cp:revision>
  <dcterms:created xsi:type="dcterms:W3CDTF">2020-05-25T15:55:00Z</dcterms:created>
  <dcterms:modified xsi:type="dcterms:W3CDTF">2020-05-25T16:22:00Z</dcterms:modified>
</cp:coreProperties>
</file>